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14" w:rsidRPr="00B2248D" w:rsidRDefault="00B2248D" w:rsidP="007E30A7">
      <w:pPr>
        <w:spacing w:beforeLines="50" w:afterLines="5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新竹縣教師會</w:t>
      </w:r>
      <w:r w:rsidR="00013792">
        <w:rPr>
          <w:rFonts w:ascii="標楷體" w:eastAsia="標楷體" w:hAnsi="標楷體" w:hint="eastAsia"/>
          <w:b/>
          <w:sz w:val="36"/>
          <w:szCs w:val="36"/>
        </w:rPr>
        <w:t>與林思銘委員教育座談會</w:t>
      </w:r>
    </w:p>
    <w:p w:rsidR="00013792" w:rsidRPr="00013792" w:rsidRDefault="00013792" w:rsidP="007E30A7">
      <w:pPr>
        <w:spacing w:beforeLines="50" w:afterLines="50" w:line="0" w:lineRule="atLeast"/>
        <w:ind w:left="757" w:hangingChars="270" w:hanging="757"/>
        <w:rPr>
          <w:rFonts w:ascii="標楷體" w:eastAsia="標楷體" w:hAnsi="標楷體"/>
          <w:b/>
          <w:sz w:val="28"/>
          <w:szCs w:val="28"/>
        </w:rPr>
      </w:pPr>
      <w:r w:rsidRPr="00013792">
        <w:rPr>
          <w:rFonts w:ascii="標楷體" w:eastAsia="標楷體" w:hAnsi="標楷體" w:hint="eastAsia"/>
          <w:b/>
          <w:sz w:val="28"/>
          <w:szCs w:val="28"/>
        </w:rPr>
        <w:t>提議1</w:t>
      </w:r>
    </w:p>
    <w:p w:rsidR="00B2248D" w:rsidRPr="00B2248D" w:rsidRDefault="00B2248D" w:rsidP="007E30A7">
      <w:pPr>
        <w:spacing w:beforeLines="50" w:afterLines="50" w:line="0" w:lineRule="atLeast"/>
        <w:ind w:left="756" w:hangingChars="270" w:hanging="7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</w:t>
      </w:r>
      <w:r w:rsidRPr="00B2248D">
        <w:rPr>
          <w:rFonts w:ascii="標楷體" w:eastAsia="標楷體" w:hAnsi="標楷體" w:hint="eastAsia"/>
          <w:sz w:val="28"/>
          <w:szCs w:val="28"/>
        </w:rPr>
        <w:t>社政單位（社會局、處）若要以「兒童少年福利與權益保障法」對老師進行裁罰，應以學校之調查報告或法院之判決為依據。若學校之調查報告結果為老師無行政疏失或法院判決不起訴，社政單位不應對老師裁罰。</w:t>
      </w:r>
    </w:p>
    <w:p w:rsidR="00B2248D" w:rsidRPr="00B2248D" w:rsidRDefault="00B2248D" w:rsidP="007E30A7">
      <w:pPr>
        <w:spacing w:beforeLines="50" w:afterLines="5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2248D">
        <w:rPr>
          <w:rFonts w:ascii="標楷體" w:eastAsia="標楷體" w:hAnsi="標楷體" w:hint="eastAsia"/>
          <w:sz w:val="28"/>
          <w:szCs w:val="28"/>
        </w:rPr>
        <w:t>說明：</w:t>
      </w:r>
    </w:p>
    <w:p w:rsidR="00F77C7D" w:rsidRDefault="00B2248D" w:rsidP="007E30A7">
      <w:pPr>
        <w:spacing w:beforeLines="50" w:afterLines="5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2248D">
        <w:rPr>
          <w:rFonts w:ascii="標楷體" w:eastAsia="標楷體" w:hAnsi="標楷體" w:hint="eastAsia"/>
          <w:sz w:val="28"/>
          <w:szCs w:val="28"/>
        </w:rPr>
        <w:t xml:space="preserve">  一、由於社會風氣改變，目前校園內各類衝突（如：生生衝突）越來越多，為了保護學生安全，履行教師職責，當老師用口頭方式無法制止時，以肢體接觸方式制止無可避免。</w:t>
      </w:r>
    </w:p>
    <w:p w:rsidR="00B2248D" w:rsidRPr="00B2248D" w:rsidRDefault="00B2248D" w:rsidP="007E30A7">
      <w:pPr>
        <w:spacing w:beforeLines="50" w:afterLines="5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2248D">
        <w:rPr>
          <w:rFonts w:ascii="標楷體" w:eastAsia="標楷體" w:hAnsi="標楷體" w:hint="eastAsia"/>
          <w:sz w:val="28"/>
          <w:szCs w:val="28"/>
        </w:rPr>
        <w:t xml:space="preserve">  二、刑法第23條：「</w:t>
      </w:r>
      <w:r w:rsidRPr="00B2248D">
        <w:rPr>
          <w:rFonts w:ascii="標楷體" w:eastAsia="標楷體" w:hAnsi="標楷體"/>
          <w:sz w:val="28"/>
          <w:szCs w:val="28"/>
        </w:rPr>
        <w:t>對於現在不法之侵害，而出於防衛自己或他人權利之行為，不罰。</w:t>
      </w:r>
      <w:r w:rsidRPr="00B2248D">
        <w:rPr>
          <w:rFonts w:ascii="標楷體" w:eastAsia="標楷體" w:hAnsi="標楷體" w:hint="eastAsia"/>
          <w:sz w:val="28"/>
          <w:szCs w:val="28"/>
        </w:rPr>
        <w:t>」和刑法第24條：「</w:t>
      </w:r>
      <w:r w:rsidRPr="00B2248D">
        <w:rPr>
          <w:rFonts w:ascii="標楷體" w:eastAsia="標楷體" w:hAnsi="標楷體"/>
          <w:sz w:val="28"/>
          <w:szCs w:val="28"/>
        </w:rPr>
        <w:t>因避免自己或他人生命、身體、自由、財產之緊急危難而出於不得已之行為，不罰。</w:t>
      </w:r>
      <w:r w:rsidRPr="00B2248D">
        <w:rPr>
          <w:rFonts w:ascii="標楷體" w:eastAsia="標楷體" w:hAnsi="標楷體" w:hint="eastAsia"/>
          <w:sz w:val="28"/>
          <w:szCs w:val="28"/>
        </w:rPr>
        <w:t>」故，當老師面對任何學生、同事或自己遭到某一學生不法之侵害，基於防衛自己或他人（學生或同事）之行為，若學校調查報告或法院之判決皆指出老師並無防衛過當之情事，則不應予以裁罰。</w:t>
      </w:r>
    </w:p>
    <w:p w:rsidR="00B2248D" w:rsidRPr="00B2248D" w:rsidRDefault="00B2248D" w:rsidP="007E30A7">
      <w:pPr>
        <w:spacing w:beforeLines="50" w:afterLines="50" w:line="0" w:lineRule="atLeast"/>
        <w:ind w:left="770" w:hangingChars="275" w:hanging="770"/>
        <w:rPr>
          <w:rFonts w:ascii="標楷體" w:eastAsia="標楷體" w:hAnsi="標楷體"/>
          <w:sz w:val="28"/>
          <w:szCs w:val="28"/>
        </w:rPr>
      </w:pPr>
      <w:r w:rsidRPr="00B2248D">
        <w:rPr>
          <w:rFonts w:ascii="標楷體" w:eastAsia="標楷體" w:hAnsi="標楷體" w:hint="eastAsia"/>
          <w:sz w:val="28"/>
          <w:szCs w:val="28"/>
        </w:rPr>
        <w:t xml:space="preserve">  三、</w:t>
      </w:r>
      <w:r w:rsidRPr="00B2248D">
        <w:rPr>
          <w:rFonts w:ascii="標楷體" w:eastAsia="標楷體" w:hAnsi="標楷體"/>
          <w:sz w:val="28"/>
          <w:szCs w:val="28"/>
        </w:rPr>
        <w:t>教育部民國105年05月20日，臺教學(二)字第1050061858號所頒定法規：【教師輔導與管教學生辦法注意事項】第23條，教師之強制措施：學生有下列行為，非立即對學生身體施加強制力，不能制止、排除或預防危害者，教師得採取必要之強制措施：</w:t>
      </w:r>
    </w:p>
    <w:p w:rsidR="00B2248D" w:rsidRPr="00B2248D" w:rsidRDefault="00B2248D" w:rsidP="007E30A7">
      <w:pPr>
        <w:spacing w:beforeLines="50" w:afterLines="50" w:line="0" w:lineRule="atLeast"/>
        <w:ind w:left="1230" w:hanging="840"/>
        <w:rPr>
          <w:rFonts w:ascii="標楷體" w:eastAsia="標楷體" w:hAnsi="標楷體"/>
          <w:sz w:val="28"/>
          <w:szCs w:val="28"/>
        </w:rPr>
      </w:pPr>
      <w:r w:rsidRPr="00B2248D">
        <w:rPr>
          <w:rFonts w:ascii="標楷體" w:eastAsia="標楷體" w:hAnsi="標楷體"/>
          <w:sz w:val="28"/>
          <w:szCs w:val="28"/>
        </w:rPr>
        <w:t>（一）攻擊教師或他人，毀損公物或他人物品，或有攻擊、毀損行為之虞時。</w:t>
      </w:r>
    </w:p>
    <w:p w:rsidR="00B2248D" w:rsidRPr="00B2248D" w:rsidRDefault="00B2248D" w:rsidP="007E30A7">
      <w:pPr>
        <w:spacing w:beforeLines="50" w:afterLines="50" w:line="0" w:lineRule="atLeast"/>
        <w:ind w:firstLine="420"/>
        <w:rPr>
          <w:rFonts w:ascii="標楷體" w:eastAsia="標楷體" w:hAnsi="標楷體"/>
          <w:sz w:val="28"/>
          <w:szCs w:val="28"/>
        </w:rPr>
      </w:pPr>
      <w:r w:rsidRPr="00B2248D">
        <w:rPr>
          <w:rFonts w:ascii="標楷體" w:eastAsia="標楷體" w:hAnsi="標楷體"/>
          <w:sz w:val="28"/>
          <w:szCs w:val="28"/>
        </w:rPr>
        <w:t>（二）自殺、自傷，或有自殺、自傷之虞時。</w:t>
      </w:r>
    </w:p>
    <w:p w:rsidR="00B2248D" w:rsidRPr="00B2248D" w:rsidRDefault="00B2248D" w:rsidP="007E30A7">
      <w:pPr>
        <w:spacing w:beforeLines="50" w:afterLines="50" w:line="0" w:lineRule="atLeast"/>
        <w:ind w:left="1230" w:hanging="840"/>
        <w:rPr>
          <w:rFonts w:ascii="標楷體" w:eastAsia="標楷體" w:hAnsi="標楷體"/>
          <w:sz w:val="28"/>
          <w:szCs w:val="28"/>
        </w:rPr>
      </w:pPr>
      <w:r w:rsidRPr="00B2248D">
        <w:rPr>
          <w:rFonts w:ascii="標楷體" w:eastAsia="標楷體" w:hAnsi="標楷體"/>
          <w:sz w:val="28"/>
          <w:szCs w:val="28"/>
        </w:rPr>
        <w:t>（三）有其他現行危害校園安全或個人生命、身體、自由或財產之行為或事實狀況。</w:t>
      </w:r>
    </w:p>
    <w:p w:rsidR="00B2248D" w:rsidRPr="00B2248D" w:rsidRDefault="00B2248D" w:rsidP="007E30A7">
      <w:pPr>
        <w:spacing w:beforeLines="50" w:afterLines="5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2248D">
        <w:rPr>
          <w:rFonts w:ascii="標楷體" w:eastAsia="標楷體" w:hAnsi="標楷體" w:hint="eastAsia"/>
          <w:sz w:val="28"/>
          <w:szCs w:val="28"/>
        </w:rPr>
        <w:t xml:space="preserve">  四、教師於教學現場依照教育專業判斷所行使之必要措施，依據說明二、三，自不屬「</w:t>
      </w:r>
      <w:hyperlink r:id="rId6" w:history="1">
        <w:r w:rsidRPr="00B2248D">
          <w:rPr>
            <w:rStyle w:val="a3"/>
            <w:rFonts w:ascii="標楷體" w:eastAsia="標楷體" w:hAnsi="標楷體"/>
            <w:sz w:val="28"/>
            <w:szCs w:val="28"/>
          </w:rPr>
          <w:t>兒童及少年福利與權益保障法</w:t>
        </w:r>
      </w:hyperlink>
      <w:r w:rsidRPr="00B2248D">
        <w:rPr>
          <w:rFonts w:ascii="標楷體" w:eastAsia="標楷體" w:hAnsi="標楷體" w:hint="eastAsia"/>
          <w:sz w:val="28"/>
          <w:szCs w:val="28"/>
        </w:rPr>
        <w:t>第49條第一項第十五款：</w:t>
      </w:r>
      <w:r w:rsidRPr="00B2248D">
        <w:rPr>
          <w:rFonts w:ascii="標楷體" w:eastAsia="標楷體" w:hAnsi="標楷體"/>
          <w:sz w:val="28"/>
          <w:szCs w:val="28"/>
        </w:rPr>
        <w:t>其他對兒童及少年或利用兒童及少年犯罪或為不正當之行為。</w:t>
      </w:r>
      <w:r w:rsidRPr="00B2248D">
        <w:rPr>
          <w:rFonts w:ascii="標楷體" w:eastAsia="標楷體" w:hAnsi="標楷體" w:hint="eastAsia"/>
          <w:sz w:val="28"/>
          <w:szCs w:val="28"/>
        </w:rPr>
        <w:t>」之「或</w:t>
      </w:r>
      <w:r w:rsidRPr="00B2248D">
        <w:rPr>
          <w:rFonts w:ascii="標楷體" w:eastAsia="標楷體" w:hAnsi="標楷體"/>
          <w:sz w:val="28"/>
          <w:szCs w:val="28"/>
        </w:rPr>
        <w:t>為不正當之行為</w:t>
      </w:r>
      <w:r w:rsidRPr="00B2248D">
        <w:rPr>
          <w:rFonts w:ascii="標楷體" w:eastAsia="標楷體" w:hAnsi="標楷體" w:hint="eastAsia"/>
          <w:sz w:val="28"/>
          <w:szCs w:val="28"/>
        </w:rPr>
        <w:t>」之適用。社政單位若據此行使「</w:t>
      </w:r>
      <w:hyperlink r:id="rId7" w:history="1">
        <w:r w:rsidRPr="00B2248D">
          <w:rPr>
            <w:rStyle w:val="a3"/>
            <w:rFonts w:ascii="標楷體" w:eastAsia="標楷體" w:hAnsi="標楷體"/>
            <w:sz w:val="28"/>
            <w:szCs w:val="28"/>
          </w:rPr>
          <w:t>兒童及少年福利與權益保障法</w:t>
        </w:r>
      </w:hyperlink>
      <w:r w:rsidRPr="00B2248D">
        <w:rPr>
          <w:rFonts w:ascii="標楷體" w:eastAsia="標楷體" w:hAnsi="標楷體" w:hint="eastAsia"/>
          <w:sz w:val="28"/>
          <w:szCs w:val="28"/>
        </w:rPr>
        <w:t>第97條」裁罰維護師生安全之行為人，校園內恐將人人自危，校園師生安全更無以維繫。</w:t>
      </w:r>
    </w:p>
    <w:p w:rsidR="00B2248D" w:rsidRDefault="00013792" w:rsidP="007E30A7">
      <w:pPr>
        <w:spacing w:beforeLines="50" w:afterLines="50" w:line="0" w:lineRule="atLeast"/>
        <w:ind w:leftChars="17" w:left="812" w:hangingChars="275" w:hanging="771"/>
        <w:rPr>
          <w:rFonts w:ascii="標楷體" w:eastAsia="標楷體" w:hAnsi="標楷體"/>
          <w:sz w:val="28"/>
          <w:szCs w:val="28"/>
        </w:rPr>
      </w:pPr>
      <w:r w:rsidRPr="004530EB">
        <w:rPr>
          <w:rFonts w:ascii="標楷體" w:eastAsia="標楷體" w:hAnsi="標楷體" w:hint="eastAsia"/>
          <w:b/>
          <w:sz w:val="28"/>
          <w:szCs w:val="28"/>
        </w:rPr>
        <w:t>建議</w:t>
      </w:r>
      <w:r w:rsidR="00B2248D" w:rsidRPr="004530EB">
        <w:rPr>
          <w:rFonts w:ascii="標楷體" w:eastAsia="標楷體" w:hAnsi="標楷體" w:hint="eastAsia"/>
          <w:b/>
          <w:sz w:val="28"/>
          <w:szCs w:val="28"/>
        </w:rPr>
        <w:t>：</w:t>
      </w:r>
      <w:r w:rsidR="00B2248D">
        <w:rPr>
          <w:rFonts w:ascii="標楷體" w:eastAsia="標楷體" w:hAnsi="標楷體" w:hint="eastAsia"/>
          <w:sz w:val="28"/>
          <w:szCs w:val="28"/>
        </w:rPr>
        <w:t>建請委員協助推動修法，或</w:t>
      </w:r>
      <w:r w:rsidR="009F6D21">
        <w:rPr>
          <w:rFonts w:ascii="標楷體" w:eastAsia="標楷體" w:hAnsi="標楷體" w:hint="eastAsia"/>
          <w:sz w:val="28"/>
          <w:szCs w:val="28"/>
        </w:rPr>
        <w:t>責成</w:t>
      </w:r>
      <w:r w:rsidR="00B2248D">
        <w:rPr>
          <w:rFonts w:ascii="標楷體" w:eastAsia="標楷體" w:hAnsi="標楷體" w:hint="eastAsia"/>
          <w:sz w:val="28"/>
          <w:szCs w:val="28"/>
        </w:rPr>
        <w:t>衛福部及教育部儘快訂定相關辦法，</w:t>
      </w:r>
      <w:r>
        <w:rPr>
          <w:rFonts w:ascii="標楷體" w:eastAsia="標楷體" w:hAnsi="標楷體" w:hint="eastAsia"/>
          <w:sz w:val="28"/>
          <w:szCs w:val="28"/>
        </w:rPr>
        <w:t>給予教育現場勇於負責、承擔、專業的好老師維繫教學品質的保障，鼓勵、支撐這些好老師繼續保持教學熱誠的勇氣與力量，這樣才能真正維護</w:t>
      </w:r>
      <w:r w:rsidR="00B2248D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們的</w:t>
      </w:r>
      <w:r w:rsidR="00B2248D">
        <w:rPr>
          <w:rFonts w:ascii="標楷體" w:eastAsia="標楷體" w:hAnsi="標楷體" w:hint="eastAsia"/>
          <w:sz w:val="28"/>
          <w:szCs w:val="28"/>
        </w:rPr>
        <w:t>受教權益。</w:t>
      </w:r>
    </w:p>
    <w:p w:rsidR="00013792" w:rsidRPr="00013792" w:rsidRDefault="00013792" w:rsidP="007E30A7">
      <w:pPr>
        <w:spacing w:beforeLines="50" w:afterLines="50" w:line="0" w:lineRule="atLeast"/>
        <w:rPr>
          <w:rFonts w:ascii="標楷體" w:eastAsia="標楷體" w:hAnsi="標楷體"/>
          <w:b/>
          <w:sz w:val="28"/>
          <w:szCs w:val="28"/>
        </w:rPr>
      </w:pPr>
      <w:r w:rsidRPr="00013792">
        <w:rPr>
          <w:rFonts w:ascii="標楷體" w:eastAsia="標楷體" w:hAnsi="標楷體" w:hint="eastAsia"/>
          <w:b/>
          <w:sz w:val="28"/>
          <w:szCs w:val="28"/>
        </w:rPr>
        <w:lastRenderedPageBreak/>
        <w:t>提議2</w:t>
      </w:r>
    </w:p>
    <w:p w:rsidR="00B2248D" w:rsidRPr="00B2248D" w:rsidRDefault="00B2248D" w:rsidP="00B2248D">
      <w:pPr>
        <w:spacing w:before="50" w:after="50" w:line="0" w:lineRule="atLeast"/>
        <w:ind w:leftChars="-26" w:left="786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</w:t>
      </w:r>
      <w:r w:rsidRPr="00B2248D">
        <w:rPr>
          <w:rFonts w:ascii="標楷體" w:eastAsia="標楷體" w:hAnsi="標楷體" w:hint="eastAsia"/>
          <w:sz w:val="28"/>
          <w:szCs w:val="28"/>
        </w:rPr>
        <w:t>國民教育期間所產生之親師糾紛，直轄市或縣市政府消費者服務中心應不予受理。</w:t>
      </w:r>
    </w:p>
    <w:p w:rsidR="00B2248D" w:rsidRPr="00B2248D" w:rsidRDefault="00B2248D" w:rsidP="00B2248D">
      <w:pPr>
        <w:spacing w:before="50" w:after="5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2248D">
        <w:rPr>
          <w:rFonts w:ascii="標楷體" w:eastAsia="標楷體" w:hAnsi="標楷體" w:hint="eastAsia"/>
          <w:sz w:val="28"/>
          <w:szCs w:val="28"/>
        </w:rPr>
        <w:t>說明：</w:t>
      </w:r>
    </w:p>
    <w:p w:rsidR="00B2248D" w:rsidRPr="00B2248D" w:rsidRDefault="00B2248D" w:rsidP="00B2248D">
      <w:pPr>
        <w:spacing w:before="50" w:after="5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2248D">
        <w:rPr>
          <w:rFonts w:ascii="標楷體" w:eastAsia="標楷體" w:hAnsi="標楷體" w:hint="eastAsia"/>
          <w:sz w:val="28"/>
          <w:szCs w:val="28"/>
        </w:rPr>
        <w:t xml:space="preserve">  一、消費者保護法的宗旨</w:t>
      </w:r>
      <w:r w:rsidRPr="00B2248D">
        <w:rPr>
          <w:rFonts w:ascii="標楷體" w:eastAsia="標楷體" w:hAnsi="標楷體"/>
          <w:sz w:val="28"/>
          <w:szCs w:val="28"/>
        </w:rPr>
        <w:t>為保護消費者權益，促進國民消費生活安全，提昇國民消費生活品質</w:t>
      </w:r>
      <w:r w:rsidRPr="00B2248D">
        <w:rPr>
          <w:rFonts w:ascii="標楷體" w:eastAsia="標楷體" w:hAnsi="標楷體" w:hint="eastAsia"/>
          <w:sz w:val="28"/>
          <w:szCs w:val="28"/>
        </w:rPr>
        <w:t>。</w:t>
      </w:r>
    </w:p>
    <w:p w:rsidR="00B2248D" w:rsidRPr="00B2248D" w:rsidRDefault="00B2248D" w:rsidP="00B2248D">
      <w:pPr>
        <w:spacing w:before="50" w:after="5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2248D">
        <w:rPr>
          <w:rFonts w:ascii="標楷體" w:eastAsia="標楷體" w:hAnsi="標楷體" w:hint="eastAsia"/>
          <w:sz w:val="28"/>
          <w:szCs w:val="28"/>
        </w:rPr>
        <w:t xml:space="preserve">  二、消費爭議的發生條件基於消費者與</w:t>
      </w:r>
      <w:r w:rsidRPr="00B2248D">
        <w:rPr>
          <w:rFonts w:ascii="標楷體" w:eastAsia="標楷體" w:hAnsi="標楷體"/>
          <w:sz w:val="28"/>
          <w:szCs w:val="28"/>
        </w:rPr>
        <w:t>企業經營者間</w:t>
      </w:r>
      <w:r w:rsidRPr="00B2248D">
        <w:rPr>
          <w:rFonts w:ascii="標楷體" w:eastAsia="標楷體" w:hAnsi="標楷體" w:hint="eastAsia"/>
          <w:sz w:val="28"/>
          <w:szCs w:val="28"/>
        </w:rPr>
        <w:t>有</w:t>
      </w:r>
      <w:r w:rsidRPr="00B2248D">
        <w:rPr>
          <w:rFonts w:ascii="標楷體" w:eastAsia="標楷體" w:hAnsi="標楷體"/>
          <w:sz w:val="28"/>
          <w:szCs w:val="28"/>
        </w:rPr>
        <w:t>就商品或服務所發生之法律關係</w:t>
      </w:r>
      <w:r w:rsidRPr="00B2248D">
        <w:rPr>
          <w:rFonts w:ascii="標楷體" w:eastAsia="標楷體" w:hAnsi="標楷體" w:hint="eastAsia"/>
          <w:sz w:val="28"/>
          <w:szCs w:val="28"/>
        </w:rPr>
        <w:t>。</w:t>
      </w:r>
    </w:p>
    <w:p w:rsidR="00B2248D" w:rsidRPr="00B2248D" w:rsidRDefault="00B2248D" w:rsidP="00B2248D">
      <w:pPr>
        <w:spacing w:before="50" w:after="5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2248D">
        <w:rPr>
          <w:rFonts w:ascii="標楷體" w:eastAsia="標楷體" w:hAnsi="標楷體" w:hint="eastAsia"/>
          <w:sz w:val="28"/>
          <w:szCs w:val="28"/>
        </w:rPr>
        <w:t xml:space="preserve">  三、學生受國民教育是學生的權利及義務，並非消費交易，故學生和家長並非國民教育的消費者。故學生在接受國民教育時，在學校所發生的糾紛自非屬消費者保護法之消費糾紛。</w:t>
      </w:r>
    </w:p>
    <w:p w:rsidR="00B2248D" w:rsidRPr="00B2248D" w:rsidRDefault="00B2248D" w:rsidP="00B2248D">
      <w:pPr>
        <w:spacing w:before="50" w:after="5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2248D">
        <w:rPr>
          <w:rFonts w:ascii="標楷體" w:eastAsia="標楷體" w:hAnsi="標楷體" w:hint="eastAsia"/>
          <w:sz w:val="28"/>
          <w:szCs w:val="28"/>
        </w:rPr>
        <w:t xml:space="preserve">  四、綜上，國民教育期間所產生之親師生糾紛，直轄市或縣市政府消費者服務中心應不予受理。</w:t>
      </w:r>
    </w:p>
    <w:p w:rsidR="00B2248D" w:rsidRPr="00B2248D" w:rsidRDefault="00013792" w:rsidP="006A1B6C">
      <w:pPr>
        <w:spacing w:before="50" w:after="50" w:line="0" w:lineRule="atLeast"/>
        <w:ind w:left="841" w:hangingChars="300" w:hanging="841"/>
        <w:rPr>
          <w:rFonts w:ascii="標楷體" w:eastAsia="標楷體" w:hAnsi="標楷體"/>
          <w:sz w:val="28"/>
          <w:szCs w:val="28"/>
        </w:rPr>
      </w:pPr>
      <w:r w:rsidRPr="006A1B6C">
        <w:rPr>
          <w:rFonts w:ascii="標楷體" w:eastAsia="標楷體" w:hAnsi="標楷體" w:hint="eastAsia"/>
          <w:b/>
          <w:sz w:val="28"/>
          <w:szCs w:val="28"/>
        </w:rPr>
        <w:t>建議</w:t>
      </w:r>
      <w:r w:rsidR="00B2248D">
        <w:rPr>
          <w:rFonts w:ascii="標楷體" w:eastAsia="標楷體" w:hAnsi="標楷體" w:hint="eastAsia"/>
          <w:sz w:val="28"/>
          <w:szCs w:val="28"/>
        </w:rPr>
        <w:t>：建請委員協助協調相關單位，將公立學校親師糾紛排除在消費者糾紛之外</w:t>
      </w:r>
      <w:r w:rsidR="00B2248D" w:rsidRPr="00B2248D">
        <w:rPr>
          <w:rFonts w:ascii="標楷體" w:eastAsia="標楷體" w:hAnsi="標楷體" w:hint="eastAsia"/>
          <w:sz w:val="28"/>
          <w:szCs w:val="28"/>
        </w:rPr>
        <w:t>。</w:t>
      </w:r>
    </w:p>
    <w:p w:rsidR="00B2248D" w:rsidRDefault="00B2248D" w:rsidP="007E30A7">
      <w:pPr>
        <w:spacing w:beforeLines="50" w:afterLines="50" w:line="0" w:lineRule="atLeast"/>
        <w:ind w:leftChars="17" w:left="811" w:hangingChars="275" w:hanging="770"/>
        <w:rPr>
          <w:rFonts w:ascii="標楷體" w:eastAsia="標楷體" w:hAnsi="標楷體"/>
          <w:sz w:val="28"/>
          <w:szCs w:val="28"/>
        </w:rPr>
      </w:pPr>
    </w:p>
    <w:p w:rsidR="00013792" w:rsidRPr="00013792" w:rsidRDefault="00013792" w:rsidP="007E30A7">
      <w:pPr>
        <w:spacing w:beforeLines="50" w:afterLines="50" w:line="0" w:lineRule="atLeast"/>
        <w:ind w:left="757" w:hangingChars="270" w:hanging="757"/>
        <w:rPr>
          <w:rFonts w:ascii="標楷體" w:eastAsia="標楷體" w:hAnsi="標楷體"/>
          <w:b/>
          <w:sz w:val="28"/>
          <w:szCs w:val="28"/>
        </w:rPr>
      </w:pPr>
      <w:r w:rsidRPr="00013792">
        <w:rPr>
          <w:rFonts w:ascii="標楷體" w:eastAsia="標楷體" w:hAnsi="標楷體" w:hint="eastAsia"/>
          <w:b/>
          <w:sz w:val="28"/>
          <w:szCs w:val="28"/>
        </w:rPr>
        <w:t>提議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</w:p>
    <w:p w:rsidR="009F6D21" w:rsidRPr="009F6D21" w:rsidRDefault="00B2248D" w:rsidP="007E30A7">
      <w:pPr>
        <w:spacing w:beforeLines="50" w:afterLines="5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</w:t>
      </w:r>
      <w:r w:rsidR="009F6D21" w:rsidRPr="009F6D21">
        <w:rPr>
          <w:rFonts w:ascii="標楷體" w:eastAsia="標楷體" w:hAnsi="標楷體" w:hint="eastAsia"/>
          <w:sz w:val="28"/>
          <w:szCs w:val="28"/>
        </w:rPr>
        <w:t>建立完整的教育部性平及專審會人才庫的淘汰制度。</w:t>
      </w:r>
    </w:p>
    <w:p w:rsidR="009F6D21" w:rsidRPr="009F6D21" w:rsidRDefault="009F6D21" w:rsidP="007E30A7">
      <w:pPr>
        <w:spacing w:beforeLines="50" w:afterLines="5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F6D21">
        <w:rPr>
          <w:rFonts w:ascii="標楷體" w:eastAsia="標楷體" w:hAnsi="標楷體" w:hint="eastAsia"/>
          <w:sz w:val="28"/>
          <w:szCs w:val="28"/>
        </w:rPr>
        <w:t>說明：</w:t>
      </w:r>
    </w:p>
    <w:p w:rsidR="009F6D21" w:rsidRPr="009F6D21" w:rsidRDefault="009F6D21" w:rsidP="007E30A7">
      <w:pPr>
        <w:spacing w:beforeLines="50" w:afterLines="50" w:line="0" w:lineRule="atLeast"/>
        <w:ind w:leftChars="134" w:left="882" w:hangingChars="200" w:hanging="560"/>
        <w:rPr>
          <w:rFonts w:ascii="標楷體" w:eastAsia="標楷體" w:hAnsi="標楷體"/>
          <w:sz w:val="28"/>
          <w:szCs w:val="28"/>
        </w:rPr>
      </w:pPr>
      <w:r w:rsidRPr="009F6D21">
        <w:rPr>
          <w:rFonts w:ascii="標楷體" w:eastAsia="標楷體" w:hAnsi="標楷體" w:hint="eastAsia"/>
          <w:sz w:val="28"/>
          <w:szCs w:val="28"/>
        </w:rPr>
        <w:t>一、目前性平及專審會人才庫皆只需要完成研習，就可以取得進入人才庫之學者專家資格。</w:t>
      </w:r>
    </w:p>
    <w:p w:rsidR="009F6D21" w:rsidRPr="009F6D21" w:rsidRDefault="009F6D21" w:rsidP="007E30A7">
      <w:pPr>
        <w:spacing w:beforeLines="50" w:afterLines="50" w:line="0" w:lineRule="atLeast"/>
        <w:ind w:leftChars="134" w:left="882" w:hangingChars="200" w:hanging="560"/>
        <w:rPr>
          <w:rFonts w:ascii="標楷體" w:eastAsia="標楷體" w:hAnsi="標楷體"/>
          <w:sz w:val="28"/>
          <w:szCs w:val="28"/>
        </w:rPr>
      </w:pPr>
      <w:r w:rsidRPr="009F6D21">
        <w:rPr>
          <w:rFonts w:ascii="標楷體" w:eastAsia="標楷體" w:hAnsi="標楷體" w:hint="eastAsia"/>
          <w:sz w:val="28"/>
          <w:szCs w:val="28"/>
        </w:rPr>
        <w:t>二、以性平人才庫為例，表面上雖有淘汰機制，但是檢舉管道並不明確，導致案件老師就算有具體證據證明其「</w:t>
      </w:r>
      <w:r w:rsidRPr="009F6D21">
        <w:rPr>
          <w:rFonts w:ascii="標楷體" w:eastAsia="標楷體" w:hAnsi="標楷體" w:hint="eastAsia"/>
          <w:position w:val="3"/>
          <w:sz w:val="28"/>
          <w:szCs w:val="28"/>
        </w:rPr>
        <w:t>嚴重違反客觀、公正、專業之原則，或有其他不適任情形，致其認定事實顯有偏頗」，也沒有明確管道可以及時提出檢舉。</w:t>
      </w:r>
    </w:p>
    <w:p w:rsidR="009F6D21" w:rsidRPr="009F6D21" w:rsidRDefault="009F6D21" w:rsidP="007E30A7">
      <w:pPr>
        <w:spacing w:beforeLines="50" w:afterLines="50" w:line="0" w:lineRule="atLeast"/>
        <w:ind w:leftChars="134" w:left="882" w:hangingChars="200" w:hanging="560"/>
        <w:rPr>
          <w:rFonts w:ascii="標楷體" w:eastAsia="標楷體" w:hAnsi="標楷體"/>
          <w:sz w:val="28"/>
          <w:szCs w:val="28"/>
        </w:rPr>
      </w:pPr>
      <w:r w:rsidRPr="009F6D21">
        <w:rPr>
          <w:rFonts w:ascii="標楷體" w:eastAsia="標楷體" w:hAnsi="標楷體" w:hint="eastAsia"/>
          <w:position w:val="3"/>
          <w:sz w:val="28"/>
          <w:szCs w:val="28"/>
        </w:rPr>
        <w:t>三、為了維護教育部性平及專審會人才庫的品質及公正性，應建立明確的疑似不適任調查員和輔導員的檢舉管道，建立教育部性平及專審會人才庫之公信力。</w:t>
      </w:r>
    </w:p>
    <w:p w:rsidR="009F6D21" w:rsidRDefault="006A1B6C" w:rsidP="007E30A7">
      <w:pPr>
        <w:spacing w:beforeLines="50" w:afterLines="50" w:line="0" w:lineRule="atLeast"/>
        <w:ind w:left="841" w:hangingChars="300" w:hanging="841"/>
        <w:rPr>
          <w:rFonts w:ascii="標楷體" w:eastAsia="標楷體" w:hAnsi="標楷體"/>
          <w:position w:val="3"/>
          <w:sz w:val="28"/>
          <w:szCs w:val="28"/>
        </w:rPr>
      </w:pPr>
      <w:r w:rsidRPr="006A1B6C">
        <w:rPr>
          <w:rFonts w:ascii="標楷體" w:eastAsia="標楷體" w:hAnsi="標楷體" w:hint="eastAsia"/>
          <w:b/>
          <w:position w:val="3"/>
          <w:sz w:val="28"/>
          <w:szCs w:val="28"/>
        </w:rPr>
        <w:t>建議</w:t>
      </w:r>
      <w:r w:rsidR="009F6D21" w:rsidRPr="009F6D21">
        <w:rPr>
          <w:rFonts w:ascii="標楷體" w:eastAsia="標楷體" w:hAnsi="標楷體" w:hint="eastAsia"/>
          <w:position w:val="3"/>
          <w:sz w:val="28"/>
          <w:szCs w:val="28"/>
        </w:rPr>
        <w:t>：</w:t>
      </w:r>
      <w:r w:rsidR="009F6D21">
        <w:rPr>
          <w:rFonts w:ascii="標楷體" w:eastAsia="標楷體" w:hAnsi="標楷體" w:hint="eastAsia"/>
          <w:position w:val="3"/>
          <w:sz w:val="28"/>
          <w:szCs w:val="28"/>
        </w:rPr>
        <w:t>請委員責成教育部：</w:t>
      </w:r>
    </w:p>
    <w:p w:rsidR="009F6D21" w:rsidRPr="009F6D21" w:rsidRDefault="009F6D21" w:rsidP="007E30A7">
      <w:pPr>
        <w:spacing w:beforeLines="50" w:afterLines="50" w:line="0" w:lineRule="atLeast"/>
        <w:ind w:leftChars="118" w:left="837" w:hangingChars="198" w:hanging="554"/>
        <w:rPr>
          <w:rFonts w:ascii="標楷體" w:eastAsia="標楷體" w:hAnsi="標楷體"/>
          <w:position w:val="3"/>
          <w:sz w:val="28"/>
          <w:szCs w:val="28"/>
        </w:rPr>
      </w:pPr>
      <w:r>
        <w:rPr>
          <w:rFonts w:ascii="標楷體" w:eastAsia="標楷體" w:hAnsi="標楷體" w:hint="eastAsia"/>
          <w:position w:val="3"/>
          <w:sz w:val="28"/>
          <w:szCs w:val="28"/>
        </w:rPr>
        <w:t>一、</w:t>
      </w:r>
      <w:r w:rsidRPr="009F6D21">
        <w:rPr>
          <w:rFonts w:ascii="標楷體" w:eastAsia="標楷體" w:hAnsi="標楷體" w:hint="eastAsia"/>
          <w:position w:val="3"/>
          <w:sz w:val="28"/>
          <w:szCs w:val="28"/>
        </w:rPr>
        <w:t>明確建立性平和專審會對於「疑似不適任調查員和輔導員」的檢舉管道。如：中央/縣市/學校性平會、中央/縣市專審會。</w:t>
      </w:r>
    </w:p>
    <w:p w:rsidR="00B2248D" w:rsidRDefault="009F6D21" w:rsidP="007E30A7">
      <w:pPr>
        <w:adjustRightInd w:val="0"/>
        <w:snapToGrid w:val="0"/>
        <w:spacing w:beforeLines="50" w:afterLines="50" w:line="0" w:lineRule="atLeast"/>
        <w:ind w:leftChars="116" w:left="768" w:hangingChars="175" w:hanging="490"/>
        <w:rPr>
          <w:rFonts w:ascii="標楷體" w:eastAsia="標楷體" w:hAnsi="標楷體"/>
          <w:position w:val="3"/>
          <w:sz w:val="28"/>
          <w:szCs w:val="28"/>
        </w:rPr>
      </w:pPr>
      <w:r w:rsidRPr="009F6D21">
        <w:rPr>
          <w:rFonts w:ascii="標楷體" w:eastAsia="標楷體" w:hAnsi="標楷體" w:hint="eastAsia"/>
          <w:position w:val="3"/>
          <w:sz w:val="28"/>
          <w:szCs w:val="28"/>
        </w:rPr>
        <w:t>二、明確訂定「</w:t>
      </w:r>
      <w:r w:rsidRPr="009F6D21">
        <w:rPr>
          <w:rFonts w:ascii="標楷體" w:eastAsia="標楷體" w:hAnsi="標楷體" w:hint="eastAsia"/>
          <w:color w:val="000000"/>
          <w:sz w:val="28"/>
          <w:szCs w:val="28"/>
        </w:rPr>
        <w:t>處理</w:t>
      </w:r>
      <w:r w:rsidRPr="009F6D21">
        <w:rPr>
          <w:rFonts w:ascii="標楷體" w:eastAsia="標楷體" w:hAnsi="標楷體" w:hint="eastAsia"/>
          <w:position w:val="3"/>
          <w:sz w:val="28"/>
          <w:szCs w:val="28"/>
        </w:rPr>
        <w:t>疑似不適任調查員和輔導員</w:t>
      </w:r>
      <w:r w:rsidRPr="009F6D21">
        <w:rPr>
          <w:rFonts w:ascii="標楷體" w:eastAsia="標楷體" w:hAnsi="標楷體" w:hint="eastAsia"/>
          <w:color w:val="000000"/>
          <w:sz w:val="28"/>
          <w:szCs w:val="28"/>
        </w:rPr>
        <w:t>應行注意事項」以</w:t>
      </w:r>
      <w:r w:rsidRPr="009F6D21">
        <w:rPr>
          <w:rFonts w:ascii="標楷體" w:eastAsia="標楷體" w:hAnsi="標楷體" w:hint="eastAsia"/>
          <w:position w:val="3"/>
          <w:sz w:val="28"/>
          <w:szCs w:val="28"/>
        </w:rPr>
        <w:t>及進行之相關流程、審核程序和方式。</w:t>
      </w:r>
    </w:p>
    <w:p w:rsidR="00F77C7D" w:rsidRDefault="00F77C7D" w:rsidP="007E30A7">
      <w:pPr>
        <w:spacing w:beforeLines="50" w:afterLines="50" w:line="0" w:lineRule="atLeast"/>
        <w:ind w:left="757" w:hangingChars="270" w:hanging="757"/>
        <w:rPr>
          <w:rFonts w:ascii="標楷體" w:eastAsia="標楷體" w:hAnsi="標楷體"/>
          <w:b/>
          <w:sz w:val="28"/>
          <w:szCs w:val="28"/>
        </w:rPr>
      </w:pPr>
    </w:p>
    <w:p w:rsidR="00013792" w:rsidRPr="00013792" w:rsidRDefault="00013792" w:rsidP="00F77C7D">
      <w:pPr>
        <w:adjustRightInd w:val="0"/>
        <w:snapToGrid w:val="0"/>
        <w:spacing w:line="0" w:lineRule="atLeast"/>
        <w:ind w:left="757" w:hangingChars="270" w:hanging="757"/>
        <w:rPr>
          <w:rFonts w:ascii="標楷體" w:eastAsia="標楷體" w:hAnsi="標楷體"/>
          <w:b/>
          <w:sz w:val="28"/>
          <w:szCs w:val="28"/>
        </w:rPr>
      </w:pPr>
      <w:r w:rsidRPr="00013792">
        <w:rPr>
          <w:rFonts w:ascii="標楷體" w:eastAsia="標楷體" w:hAnsi="標楷體" w:hint="eastAsia"/>
          <w:b/>
          <w:sz w:val="28"/>
          <w:szCs w:val="28"/>
        </w:rPr>
        <w:lastRenderedPageBreak/>
        <w:t>提議4</w:t>
      </w:r>
    </w:p>
    <w:p w:rsidR="009F6D21" w:rsidRDefault="009F6D21" w:rsidP="00F77C7D">
      <w:pPr>
        <w:adjustRightInd w:val="0"/>
        <w:snapToGrid w:val="0"/>
        <w:spacing w:line="0" w:lineRule="atLeast"/>
        <w:ind w:left="812" w:hangingChars="290" w:hanging="812"/>
        <w:rPr>
          <w:rFonts w:ascii="標楷體" w:eastAsia="標楷體" w:hAnsi="標楷體"/>
          <w:position w:val="3"/>
          <w:sz w:val="28"/>
          <w:szCs w:val="28"/>
        </w:rPr>
      </w:pPr>
      <w:r w:rsidRPr="009F6D21">
        <w:rPr>
          <w:rFonts w:ascii="標楷體" w:eastAsia="標楷體" w:hAnsi="標楷體" w:hint="eastAsia"/>
          <w:position w:val="3"/>
          <w:sz w:val="28"/>
          <w:szCs w:val="28"/>
        </w:rPr>
        <w:t>案由：</w:t>
      </w:r>
      <w:r>
        <w:rPr>
          <w:rFonts w:ascii="標楷體" w:eastAsia="標楷體" w:hAnsi="標楷體" w:hint="eastAsia"/>
          <w:position w:val="3"/>
          <w:sz w:val="28"/>
          <w:szCs w:val="28"/>
        </w:rPr>
        <w:t>中央申評會審理教師案件時，應將高級中等以下學校與大</w:t>
      </w:r>
      <w:r w:rsidR="008D03D8">
        <w:rPr>
          <w:rFonts w:ascii="標楷體" w:eastAsia="標楷體" w:hAnsi="標楷體" w:hint="eastAsia"/>
          <w:position w:val="3"/>
          <w:sz w:val="28"/>
          <w:szCs w:val="28"/>
        </w:rPr>
        <w:t>專院校</w:t>
      </w:r>
      <w:r>
        <w:rPr>
          <w:rFonts w:ascii="標楷體" w:eastAsia="標楷體" w:hAnsi="標楷體" w:hint="eastAsia"/>
          <w:position w:val="3"/>
          <w:sz w:val="28"/>
          <w:szCs w:val="28"/>
        </w:rPr>
        <w:t>分開</w:t>
      </w:r>
      <w:r w:rsidR="008D03D8">
        <w:rPr>
          <w:rFonts w:ascii="標楷體" w:eastAsia="標楷體" w:hAnsi="標楷體" w:hint="eastAsia"/>
          <w:position w:val="3"/>
          <w:sz w:val="28"/>
          <w:szCs w:val="28"/>
        </w:rPr>
        <w:t>審理，委員也應分開聘請</w:t>
      </w:r>
      <w:r>
        <w:rPr>
          <w:rFonts w:ascii="標楷體" w:eastAsia="標楷體" w:hAnsi="標楷體" w:hint="eastAsia"/>
          <w:position w:val="3"/>
          <w:sz w:val="28"/>
          <w:szCs w:val="28"/>
        </w:rPr>
        <w:t>。</w:t>
      </w:r>
    </w:p>
    <w:p w:rsidR="009F6D21" w:rsidRDefault="009F6D21" w:rsidP="007E30A7">
      <w:pPr>
        <w:adjustRightInd w:val="0"/>
        <w:snapToGrid w:val="0"/>
        <w:spacing w:beforeLines="50" w:afterLines="50" w:line="0" w:lineRule="atLeast"/>
        <w:ind w:left="812" w:hangingChars="290" w:hanging="812"/>
        <w:rPr>
          <w:rFonts w:ascii="標楷體" w:eastAsia="標楷體" w:hAnsi="標楷體"/>
          <w:position w:val="3"/>
          <w:sz w:val="28"/>
          <w:szCs w:val="28"/>
        </w:rPr>
      </w:pPr>
      <w:r>
        <w:rPr>
          <w:rFonts w:ascii="標楷體" w:eastAsia="標楷體" w:hAnsi="標楷體" w:hint="eastAsia"/>
          <w:position w:val="3"/>
          <w:sz w:val="28"/>
          <w:szCs w:val="28"/>
        </w:rPr>
        <w:t>說明：</w:t>
      </w:r>
    </w:p>
    <w:p w:rsidR="009F6D21" w:rsidRDefault="009F6D21" w:rsidP="007E30A7">
      <w:pPr>
        <w:adjustRightInd w:val="0"/>
        <w:snapToGrid w:val="0"/>
        <w:spacing w:beforeLines="50" w:afterLines="50" w:line="0" w:lineRule="atLeast"/>
        <w:ind w:left="566" w:hangingChars="202" w:hanging="566"/>
        <w:rPr>
          <w:rFonts w:ascii="標楷體" w:eastAsia="標楷體" w:hAnsi="標楷體"/>
          <w:position w:val="3"/>
          <w:sz w:val="28"/>
          <w:szCs w:val="28"/>
        </w:rPr>
      </w:pPr>
      <w:r>
        <w:rPr>
          <w:rFonts w:ascii="標楷體" w:eastAsia="標楷體" w:hAnsi="標楷體" w:hint="eastAsia"/>
          <w:position w:val="3"/>
          <w:sz w:val="28"/>
          <w:szCs w:val="28"/>
        </w:rPr>
        <w:t>一、</w:t>
      </w:r>
      <w:r w:rsidR="008D03D8">
        <w:rPr>
          <w:rFonts w:ascii="標楷體" w:eastAsia="標楷體" w:hAnsi="標楷體" w:hint="eastAsia"/>
          <w:position w:val="3"/>
          <w:sz w:val="28"/>
          <w:szCs w:val="28"/>
        </w:rPr>
        <w:t>目前的中央申評會審理案件時，並未將高級中等以下學校與大專院校分開審理，委員也是同一批人馬</w:t>
      </w:r>
      <w:r w:rsidR="003F70E5">
        <w:rPr>
          <w:rFonts w:ascii="標楷體" w:eastAsia="標楷體" w:hAnsi="標楷體" w:hint="eastAsia"/>
          <w:position w:val="3"/>
          <w:sz w:val="28"/>
          <w:szCs w:val="28"/>
        </w:rPr>
        <w:t>，委員以大專教授居多</w:t>
      </w:r>
      <w:r w:rsidR="008D03D8">
        <w:rPr>
          <w:rFonts w:ascii="標楷體" w:eastAsia="標楷體" w:hAnsi="標楷體" w:hint="eastAsia"/>
          <w:position w:val="3"/>
          <w:sz w:val="28"/>
          <w:szCs w:val="28"/>
        </w:rPr>
        <w:t>。</w:t>
      </w:r>
    </w:p>
    <w:p w:rsidR="008D03D8" w:rsidRDefault="008D03D8" w:rsidP="007E30A7">
      <w:pPr>
        <w:adjustRightInd w:val="0"/>
        <w:snapToGrid w:val="0"/>
        <w:spacing w:beforeLines="50" w:afterLines="50" w:line="0" w:lineRule="atLeast"/>
        <w:ind w:left="566" w:hangingChars="202" w:hanging="566"/>
        <w:rPr>
          <w:rFonts w:ascii="標楷體" w:eastAsia="標楷體" w:hAnsi="標楷體"/>
          <w:position w:val="3"/>
          <w:sz w:val="28"/>
          <w:szCs w:val="28"/>
        </w:rPr>
      </w:pPr>
      <w:r>
        <w:rPr>
          <w:rFonts w:ascii="標楷體" w:eastAsia="標楷體" w:hAnsi="標楷體" w:hint="eastAsia"/>
          <w:position w:val="3"/>
          <w:sz w:val="28"/>
          <w:szCs w:val="28"/>
        </w:rPr>
        <w:t>二、由於高級中</w:t>
      </w:r>
      <w:r w:rsidR="003F70E5">
        <w:rPr>
          <w:rFonts w:ascii="標楷體" w:eastAsia="標楷體" w:hAnsi="標楷體" w:hint="eastAsia"/>
          <w:position w:val="3"/>
          <w:sz w:val="28"/>
          <w:szCs w:val="28"/>
        </w:rPr>
        <w:t>等以下學校所適用之法規，與大專院校不同，申訴案件類別也大不相同，本會已接獲曾任中央申評會委員之反映，有不少大學教授委員連「公立高級中等以下學校教師成績考核辦法」都十分不熟，甚至未曾聽過。此意味著，許多大學教授委員並不具備審理高級中等以下學校申訴案件之能力。</w:t>
      </w:r>
    </w:p>
    <w:p w:rsidR="003F70E5" w:rsidRDefault="003F70E5" w:rsidP="007E30A7">
      <w:pPr>
        <w:adjustRightInd w:val="0"/>
        <w:snapToGrid w:val="0"/>
        <w:spacing w:beforeLines="50" w:afterLines="50" w:line="0" w:lineRule="atLeast"/>
        <w:ind w:left="426" w:hangingChars="152" w:hanging="426"/>
        <w:rPr>
          <w:rFonts w:ascii="標楷體" w:eastAsia="標楷體" w:hAnsi="標楷體"/>
          <w:position w:val="3"/>
          <w:sz w:val="28"/>
          <w:szCs w:val="28"/>
        </w:rPr>
      </w:pPr>
      <w:r>
        <w:rPr>
          <w:rFonts w:ascii="標楷體" w:eastAsia="標楷體" w:hAnsi="標楷體" w:hint="eastAsia"/>
          <w:position w:val="3"/>
          <w:sz w:val="28"/>
          <w:szCs w:val="28"/>
        </w:rPr>
        <w:t>三、由於高級中等以下學校與大專院校案件一起審理，導致案件過多。據聞，中央申評會平均一個月開會一次，每次審理的案件超過20件，每次審理時間約為6小時（上午9：00-12：00；下午1：00-4：00），就算每次只有20件申訴案，在委員中途完全不休息，不如廁的狀況下，平均每件</w:t>
      </w:r>
      <w:r w:rsidR="00C62910">
        <w:rPr>
          <w:rFonts w:ascii="標楷體" w:eastAsia="標楷體" w:hAnsi="標楷體" w:hint="eastAsia"/>
          <w:position w:val="3"/>
          <w:sz w:val="28"/>
          <w:szCs w:val="28"/>
        </w:rPr>
        <w:t>案子只能分配到18分鐘。</w:t>
      </w:r>
    </w:p>
    <w:p w:rsidR="00C62910" w:rsidRDefault="00C62910" w:rsidP="007E30A7">
      <w:pPr>
        <w:adjustRightInd w:val="0"/>
        <w:snapToGrid w:val="0"/>
        <w:spacing w:beforeLines="50" w:afterLines="50" w:line="0" w:lineRule="atLeast"/>
        <w:ind w:left="426" w:hangingChars="152" w:hanging="426"/>
        <w:rPr>
          <w:rFonts w:ascii="標楷體" w:eastAsia="標楷體" w:hAnsi="標楷體"/>
          <w:position w:val="3"/>
          <w:sz w:val="28"/>
          <w:szCs w:val="28"/>
        </w:rPr>
      </w:pPr>
      <w:r>
        <w:rPr>
          <w:rFonts w:ascii="標楷體" w:eastAsia="標楷體" w:hAnsi="標楷體" w:hint="eastAsia"/>
          <w:position w:val="3"/>
          <w:sz w:val="28"/>
          <w:szCs w:val="28"/>
        </w:rPr>
        <w:t>四、在這麼多的申訴案中，除了大專院校的升等案、各級學校的懲處案外，更需要謹慎審理的是解聘和不續聘案，因為此兩類案件涉及教師的工作權和身份的改變。僅18分鐘的審理時間，連讓兩造當事人出席說明和委員討論的時間都不夠，又如何能夠深入探討當事人所受到的處份是否合理？</w:t>
      </w:r>
    </w:p>
    <w:p w:rsidR="00C62910" w:rsidRDefault="00C62910" w:rsidP="007E30A7">
      <w:pPr>
        <w:adjustRightInd w:val="0"/>
        <w:snapToGrid w:val="0"/>
        <w:spacing w:beforeLines="50" w:afterLines="50" w:line="0" w:lineRule="atLeast"/>
        <w:ind w:left="426" w:hangingChars="152" w:hanging="426"/>
        <w:rPr>
          <w:rFonts w:ascii="標楷體" w:eastAsia="標楷體" w:hAnsi="標楷體"/>
          <w:position w:val="3"/>
          <w:sz w:val="28"/>
          <w:szCs w:val="28"/>
        </w:rPr>
      </w:pPr>
      <w:r>
        <w:rPr>
          <w:rFonts w:ascii="標楷體" w:eastAsia="標楷體" w:hAnsi="標楷體" w:hint="eastAsia"/>
          <w:position w:val="3"/>
          <w:sz w:val="28"/>
          <w:szCs w:val="28"/>
        </w:rPr>
        <w:t>五、中央申評會的委員皆為兼任，若以每月最低案件量20件算，每位委員除了假日之外，平均每個工作日均要消化一案件，方能事先看完所有案件。這樣的工作量對兼任委員來說實在太大。</w:t>
      </w:r>
    </w:p>
    <w:p w:rsidR="00C62910" w:rsidRDefault="00C62910" w:rsidP="007E30A7">
      <w:pPr>
        <w:adjustRightInd w:val="0"/>
        <w:snapToGrid w:val="0"/>
        <w:spacing w:beforeLines="50" w:afterLines="50" w:line="0" w:lineRule="atLeast"/>
        <w:ind w:left="426" w:hangingChars="152" w:hanging="426"/>
        <w:rPr>
          <w:rFonts w:ascii="標楷體" w:eastAsia="標楷體" w:hAnsi="標楷體"/>
          <w:position w:val="3"/>
          <w:sz w:val="28"/>
          <w:szCs w:val="28"/>
        </w:rPr>
      </w:pPr>
      <w:r>
        <w:rPr>
          <w:rFonts w:ascii="標楷體" w:eastAsia="標楷體" w:hAnsi="標楷體" w:hint="eastAsia"/>
          <w:position w:val="3"/>
          <w:sz w:val="28"/>
          <w:szCs w:val="28"/>
        </w:rPr>
        <w:t>六、有鑑於此，為了維護教師提出的行政救濟能得到較高品質的審理，高級中等以下學校與大專院校不僅案件必須分開審理，委員也應該就其任教級別分開聘任，方能維護中央申評會審理案件之品質，以昭公信。</w:t>
      </w:r>
    </w:p>
    <w:p w:rsidR="00C62910" w:rsidRDefault="006A1B6C" w:rsidP="007E30A7">
      <w:pPr>
        <w:adjustRightInd w:val="0"/>
        <w:snapToGrid w:val="0"/>
        <w:spacing w:beforeLines="50" w:afterLines="50" w:line="0" w:lineRule="atLeast"/>
        <w:ind w:left="426" w:hangingChars="152" w:hanging="426"/>
        <w:rPr>
          <w:rFonts w:ascii="標楷體" w:eastAsia="標楷體" w:hAnsi="標楷體"/>
          <w:position w:val="3"/>
          <w:sz w:val="28"/>
          <w:szCs w:val="28"/>
        </w:rPr>
      </w:pPr>
      <w:r w:rsidRPr="006A1B6C">
        <w:rPr>
          <w:rFonts w:ascii="標楷體" w:eastAsia="標楷體" w:hAnsi="標楷體" w:hint="eastAsia"/>
          <w:b/>
          <w:position w:val="3"/>
          <w:sz w:val="28"/>
          <w:szCs w:val="28"/>
        </w:rPr>
        <w:t>建議</w:t>
      </w:r>
      <w:r w:rsidR="00C62910">
        <w:rPr>
          <w:rFonts w:ascii="標楷體" w:eastAsia="標楷體" w:hAnsi="標楷體" w:hint="eastAsia"/>
          <w:position w:val="3"/>
          <w:sz w:val="28"/>
          <w:szCs w:val="28"/>
        </w:rPr>
        <w:t>：建請委員責成教育部修改中央申評會的審理案件方式。</w:t>
      </w:r>
    </w:p>
    <w:p w:rsidR="007E30A7" w:rsidRDefault="007E30A7" w:rsidP="00F77C7D">
      <w:pPr>
        <w:adjustRightInd w:val="0"/>
        <w:snapToGrid w:val="0"/>
        <w:spacing w:line="0" w:lineRule="atLeast"/>
        <w:ind w:left="426" w:hangingChars="152" w:hanging="426"/>
        <w:rPr>
          <w:rFonts w:ascii="標楷體" w:eastAsia="標楷體" w:hAnsi="標楷體" w:hint="eastAsia"/>
          <w:b/>
          <w:sz w:val="28"/>
          <w:szCs w:val="28"/>
        </w:rPr>
      </w:pPr>
    </w:p>
    <w:p w:rsidR="00737BAF" w:rsidRDefault="00737BAF" w:rsidP="00F77C7D">
      <w:pPr>
        <w:adjustRightInd w:val="0"/>
        <w:snapToGrid w:val="0"/>
        <w:spacing w:line="0" w:lineRule="atLeast"/>
        <w:ind w:left="426" w:hangingChars="152" w:hanging="426"/>
        <w:rPr>
          <w:rFonts w:ascii="標楷體" w:eastAsia="標楷體" w:hAnsi="標楷體"/>
          <w:b/>
          <w:sz w:val="28"/>
          <w:szCs w:val="28"/>
        </w:rPr>
      </w:pPr>
      <w:r w:rsidRPr="00013792">
        <w:rPr>
          <w:rFonts w:ascii="標楷體" w:eastAsia="標楷體" w:hAnsi="標楷體" w:hint="eastAsia"/>
          <w:b/>
          <w:sz w:val="28"/>
          <w:szCs w:val="28"/>
        </w:rPr>
        <w:t>提議</w:t>
      </w:r>
      <w:r>
        <w:rPr>
          <w:rFonts w:ascii="標楷體" w:eastAsia="標楷體" w:hAnsi="標楷體" w:hint="eastAsia"/>
          <w:b/>
          <w:sz w:val="28"/>
          <w:szCs w:val="28"/>
        </w:rPr>
        <w:t>5</w:t>
      </w:r>
    </w:p>
    <w:p w:rsidR="00737BAF" w:rsidRPr="005E4B23" w:rsidRDefault="00737BAF" w:rsidP="00F77C7D">
      <w:pPr>
        <w:adjustRightInd w:val="0"/>
        <w:snapToGrid w:val="0"/>
        <w:spacing w:line="0" w:lineRule="atLeas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5E4B23">
        <w:rPr>
          <w:rFonts w:ascii="標楷體" w:eastAsia="標楷體" w:hAnsi="標楷體" w:hint="eastAsia"/>
          <w:sz w:val="28"/>
          <w:szCs w:val="28"/>
        </w:rPr>
        <w:t>案由：請修法還給教師應有補償金。</w:t>
      </w:r>
    </w:p>
    <w:p w:rsidR="00F77C7D" w:rsidRDefault="00737BAF" w:rsidP="007E30A7">
      <w:pPr>
        <w:adjustRightInd w:val="0"/>
        <w:snapToGrid w:val="0"/>
        <w:spacing w:beforeLines="50" w:afterLines="50" w:line="0" w:lineRule="atLeast"/>
        <w:ind w:left="846" w:hangingChars="302" w:hanging="8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  <w:r w:rsidRPr="00737BAF">
        <w:rPr>
          <w:rFonts w:ascii="標楷體" w:eastAsia="標楷體" w:hAnsi="標楷體" w:hint="eastAsia"/>
          <w:sz w:val="28"/>
          <w:szCs w:val="28"/>
        </w:rPr>
        <w:t>年資補償金是1996年實施新制退撫時，針對當時仍在職、舊制年資15年的教師給予「補償金」。因舊制前15年每年年資給付率是本俸的百分之五，而新制改為本俸的百分之四。為補足這百分之一的差額，針對1981年至1995年起任教的在職教師，原本依年資可領4萬8千多元至68萬元不等的補償金。</w:t>
      </w:r>
    </w:p>
    <w:p w:rsidR="00737A6B" w:rsidRDefault="00737BAF" w:rsidP="00957879">
      <w:pPr>
        <w:adjustRightInd w:val="0"/>
        <w:snapToGrid w:val="0"/>
        <w:spacing w:beforeLines="50" w:afterLines="50" w:line="0" w:lineRule="atLeast"/>
        <w:ind w:left="846" w:hangingChars="302" w:hanging="84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建議：建請委員協助修法將政府應給教師的補償金，全部恢復。</w:t>
      </w:r>
    </w:p>
    <w:sectPr w:rsidR="00737A6B" w:rsidSect="00F77C7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F8" w:rsidRDefault="009021F8" w:rsidP="00013792">
      <w:r>
        <w:separator/>
      </w:r>
    </w:p>
  </w:endnote>
  <w:endnote w:type="continuationSeparator" w:id="0">
    <w:p w:rsidR="009021F8" w:rsidRDefault="009021F8" w:rsidP="00013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F8" w:rsidRDefault="009021F8" w:rsidP="00013792">
      <w:r>
        <w:separator/>
      </w:r>
    </w:p>
  </w:footnote>
  <w:footnote w:type="continuationSeparator" w:id="0">
    <w:p w:rsidR="009021F8" w:rsidRDefault="009021F8" w:rsidP="00013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48D"/>
    <w:rsid w:val="00013792"/>
    <w:rsid w:val="00075136"/>
    <w:rsid w:val="003049F9"/>
    <w:rsid w:val="003F70E5"/>
    <w:rsid w:val="00413D14"/>
    <w:rsid w:val="004530EB"/>
    <w:rsid w:val="004E4F01"/>
    <w:rsid w:val="005D3D9D"/>
    <w:rsid w:val="005E4B23"/>
    <w:rsid w:val="006A1B6C"/>
    <w:rsid w:val="00737A6B"/>
    <w:rsid w:val="00737BAF"/>
    <w:rsid w:val="007D2362"/>
    <w:rsid w:val="007E30A7"/>
    <w:rsid w:val="00830059"/>
    <w:rsid w:val="008A13E4"/>
    <w:rsid w:val="008D03D8"/>
    <w:rsid w:val="008D72F0"/>
    <w:rsid w:val="009021F8"/>
    <w:rsid w:val="00957879"/>
    <w:rsid w:val="009F6D21"/>
    <w:rsid w:val="00A353C0"/>
    <w:rsid w:val="00B2248D"/>
    <w:rsid w:val="00C62910"/>
    <w:rsid w:val="00E758E6"/>
    <w:rsid w:val="00F77C7D"/>
    <w:rsid w:val="00F9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48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13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1379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13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1379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w.moj.gov.tw/LawClass/LawAll.aspx?pcode=D0050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.moj.gov.tw/LawClass/LawAll.aspx?pcode=D00500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2229</Characters>
  <Application>Microsoft Office Word</Application>
  <DocSecurity>0</DocSecurity>
  <Lines>18</Lines>
  <Paragraphs>5</Paragraphs>
  <ScaleCrop>false</ScaleCrop>
  <Company>C.M.T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hcceiu</cp:lastModifiedBy>
  <cp:revision>2</cp:revision>
  <cp:lastPrinted>2020-08-27T04:12:00Z</cp:lastPrinted>
  <dcterms:created xsi:type="dcterms:W3CDTF">2020-09-01T06:09:00Z</dcterms:created>
  <dcterms:modified xsi:type="dcterms:W3CDTF">2020-09-01T06:09:00Z</dcterms:modified>
</cp:coreProperties>
</file>